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5611C" w14:textId="131DDFD4" w:rsidR="0055636C" w:rsidRPr="0055636C" w:rsidRDefault="0055636C" w:rsidP="0055636C">
      <w:pPr>
        <w:pStyle w:val="Sinespaciado"/>
        <w:jc w:val="center"/>
        <w:rPr>
          <w:b/>
          <w:bCs/>
        </w:rPr>
      </w:pPr>
      <w:bookmarkStart w:id="0" w:name="_Toc145872944"/>
      <w:bookmarkStart w:id="1" w:name="_Toc145873256"/>
      <w:bookmarkStart w:id="2" w:name="_Toc145872950"/>
      <w:bookmarkStart w:id="3" w:name="_Toc145873262"/>
      <w:r w:rsidRPr="0055636C">
        <w:rPr>
          <w:b/>
          <w:bCs/>
        </w:rPr>
        <w:t>Apéndice B. Análisis de Microentorno</w:t>
      </w:r>
    </w:p>
    <w:p w14:paraId="6486425C" w14:textId="0BA47FBE" w:rsidR="0055636C" w:rsidRPr="00E5276F" w:rsidRDefault="0055636C" w:rsidP="0055636C">
      <w:pPr>
        <w:pStyle w:val="Ttulo1"/>
      </w:pPr>
      <w:r w:rsidRPr="00E5276F">
        <w:t>Análisis del Microentorno (5 Fuerzas de Porter)</w:t>
      </w:r>
      <w:bookmarkEnd w:id="2"/>
      <w:bookmarkEnd w:id="3"/>
    </w:p>
    <w:p w14:paraId="0DACB5D7" w14:textId="77777777" w:rsidR="0055636C" w:rsidRPr="00E5276F" w:rsidRDefault="0055636C" w:rsidP="0055636C">
      <w:pPr>
        <w:pStyle w:val="Ttulo2"/>
      </w:pPr>
      <w:bookmarkStart w:id="4" w:name="_Toc145872951"/>
      <w:bookmarkStart w:id="5" w:name="_Toc145873263"/>
      <w:r w:rsidRPr="00E5276F">
        <w:t>Rivalidad entre Competidores Existentes</w:t>
      </w:r>
      <w:bookmarkEnd w:id="4"/>
      <w:bookmarkEnd w:id="5"/>
    </w:p>
    <w:p w14:paraId="35C8BA98" w14:textId="77777777" w:rsidR="0055636C" w:rsidRPr="00E5276F" w:rsidRDefault="0055636C" w:rsidP="0055636C">
      <w:pPr>
        <w:pStyle w:val="Sinespaciado"/>
      </w:pPr>
      <w:r w:rsidRPr="00E5276F">
        <w:t>La rivalidad entre competidores existentes en el sector del ecoturismo en bicicleta a nivel nacional es moderada a alta. Actualmente, hay varias empresas y eventos que ofrecen experiencias similares, lo que genera una competencia directa por atraer y retener a los ciclistas aficionados como clientes.</w:t>
      </w:r>
    </w:p>
    <w:p w14:paraId="70AB299D" w14:textId="77777777" w:rsidR="0055636C" w:rsidRPr="00E5276F" w:rsidRDefault="0055636C" w:rsidP="0055636C">
      <w:pPr>
        <w:pStyle w:val="Sinespaciado"/>
      </w:pPr>
      <w:r w:rsidRPr="00E5276F">
        <w:t>En el ámbito nacional, se pueden encontrar eventos reconocidos como el “Gran Fondo de Nairo”, “El Giro de Rigo”, L'Etape Colombia by Tour de France, entre otras, carreras para ciclistas aficionados en bicicletas de ruta. Para estos eventos la inscripción para un solo día de competencia ronda entre los $ 500.000 y los $ 800.000 aproximadamente. También, a lo largo y ancho del país se encuentran eventos de características similares, con menor renombre, pero también con gran participación. Estas son, por ejemplo, vuelta a Tolima master, Reto Letras, Reto la línea, Gran Fondo Leyenda Vallenata, Gran fondo Caquetá, Pájara Race, Reto Boque monte, Reto el crucero, entre otros. Estas competencias usualmente tienen un menor despliegue logístico y publicitario y tienen menor precio y usualmente la inscripción cuesta entre los 80.000 hasta los 250.000 aproximadamente en la versión más básica (aquella que no posee uniforme o componentes adicionales a la propia carrera). Vale destacar que todas estas competencias llegan a tener en su totalidad más de 150 participantes en todos los casos, incluso llegando a cifras cercanas a los 4.000 participantes (AS Colombia, 2022) en los eventos más famosos.</w:t>
      </w:r>
    </w:p>
    <w:p w14:paraId="7168686A" w14:textId="77777777" w:rsidR="0055636C" w:rsidRPr="00E5276F" w:rsidRDefault="0055636C" w:rsidP="0055636C">
      <w:pPr>
        <w:pStyle w:val="Sinespaciado"/>
      </w:pPr>
      <w:r w:rsidRPr="00E5276F">
        <w:t xml:space="preserve">Análogo a estas competencias, los ciclistas aficionados también cuentan con una amplia variedad de eventos enfocados en recorridos en bicicleta, pero bajo la vertiente de </w:t>
      </w:r>
      <w:r w:rsidRPr="00E5276F">
        <w:lastRenderedPageBreak/>
        <w:t>ciclo montanismo. Es decir, los ciclistas aficionados buscan eventos de ciclismo de ruta y de ciclo montanismo (MTB), cada una con sus particularidades. El ciclismo de ruta brinda experiencias centradas en la competencia, el performance deportivo, el aspiracional competitivo de cada participante, y la generación de un turismo donde la perspectiva del mismo está altamente permeada por el propio evento, principalmente desarrollado bajo el formato de “tiempos cronometrados” o el formato de una “Carrera tradicional”. Por otro lado, los eventos de MTB si bien suelen mantener estos componentes competitivos, destacan más por ser una experiencia altamente inmersiva en entornos naturales, el componente de aventura cobra gran protagonismo y el coraje y pasión asociado al componente competitivo se traslada a todos los participantes por el solo hecho de completar dichas rutas. El formato de carreras por etapas de MTB de varios días tiene amplia difusión y despliegue a nivel internacional. Sin embargo, en el país su oferta no es tan amplia como la de eventos de un solo día (o hasta tres). Ejemplos de carreras de MTB con alto reconocimiento son Andes Épic, Chapala Race, Clásica de Verano MTB, Guerrero Guane y Leyenda el Dorado, esta última la de más repercusión a nivel internacional (participantes de 22 países, 500 inscritos y valor de inscripción con el paquete más básico a 2 millones de pesos) (El País, 2023).</w:t>
      </w:r>
    </w:p>
    <w:p w14:paraId="4D7A986D" w14:textId="77777777" w:rsidR="0055636C" w:rsidRPr="00E5276F" w:rsidRDefault="0055636C" w:rsidP="0055636C">
      <w:pPr>
        <w:pStyle w:val="Sinespaciado"/>
      </w:pPr>
      <w:r w:rsidRPr="00E5276F">
        <w:t>Vale la pena mencionar que todos estos eventos mencionados no son de ciclismo profesional sino de eventos de carácter aficionado, lo cual habla dl gran tamaño, acogida, dinero invertido, variabilidad y tamaño de oferentes que posee este mercado a nivel nacional.</w:t>
      </w:r>
    </w:p>
    <w:p w14:paraId="7336796B" w14:textId="77777777" w:rsidR="0055636C" w:rsidRPr="00E5276F" w:rsidRDefault="0055636C" w:rsidP="0055636C">
      <w:pPr>
        <w:pStyle w:val="Sinespaciado"/>
      </w:pPr>
      <w:r w:rsidRPr="00E5276F">
        <w:t xml:space="preserve">Como se observa, a pesar de la significativa competencia a nivel nacional, la oferta de eventos de ecoturismo en bicicleta en el departamento de La Guajira tiene el potencial de destacarse y diferenciarse de los demás eventos. La región cuenta con bellos paisajes naturales, una rica diversidad cultural, la posibilidad de organizar rutas que conecten lugares emblemáticos y una experiencia única en términos de aventura y contacto con la naturaleza. </w:t>
      </w:r>
      <w:r w:rsidRPr="00E5276F">
        <w:lastRenderedPageBreak/>
        <w:t>Estos factores pueden brindar a los ciclistas aficionados una experiencia enriquecedora y auténtica, agregando un valor adicional a su participación en el evento. Además, la Guajira ofrece la oportunidad de explorar comunidades indígenas, conocer sus tradiciones y contribuir al desarrollo local de manera sostenible. Todo esto puede ser utilizado como un diferenciador clave para atraer a los ciclistas aficionados y posicionarse como una opción atractiva dentro del competitivo mercado del ecoturismo en bicicleta a nivel nacional. Vale la pena destacar también que el marcado es muy amplio, y que, como se observa en la amplia cantidad de eventos en el país, hay un gran número de ciclistas aficionados a pagar altas sumas de dinero por tener experiencias memorables al participar en este tipo de eventos.</w:t>
      </w:r>
    </w:p>
    <w:p w14:paraId="0BDCE653" w14:textId="77777777" w:rsidR="0055636C" w:rsidRPr="00E5276F" w:rsidRDefault="0055636C" w:rsidP="0055636C">
      <w:pPr>
        <w:pStyle w:val="Ttulo2"/>
      </w:pPr>
      <w:bookmarkStart w:id="6" w:name="_Toc145872952"/>
      <w:bookmarkStart w:id="7" w:name="_Toc145873264"/>
      <w:r w:rsidRPr="00E5276F">
        <w:t>Amenaza de Nuevos Competidores</w:t>
      </w:r>
      <w:bookmarkEnd w:id="6"/>
      <w:bookmarkEnd w:id="7"/>
    </w:p>
    <w:p w14:paraId="347CB9B9" w14:textId="77777777" w:rsidR="0055636C" w:rsidRPr="00E5276F" w:rsidRDefault="0055636C" w:rsidP="0055636C">
      <w:pPr>
        <w:pStyle w:val="Sinespaciado"/>
      </w:pPr>
      <w:r w:rsidRPr="00E5276F">
        <w:t>La amenaza de nuevos competidores en el sector del ecoturismo en bicicleta en el departamento de La Guajira es significativa y debe ser considerada en el desarrollo del plan de negocio. Si bien entrar en el mercado requiere inversiones iniciales considerables en infraestructura, logística y promoción, existen diversos factores que pueden impulsar la entrada de nuevos competidores.</w:t>
      </w:r>
    </w:p>
    <w:p w14:paraId="2FEDB132" w14:textId="77777777" w:rsidR="0055636C" w:rsidRPr="00E5276F" w:rsidRDefault="0055636C" w:rsidP="0055636C">
      <w:pPr>
        <w:pStyle w:val="Sinespaciado"/>
      </w:pPr>
      <w:r w:rsidRPr="00E5276F">
        <w:t>En primer lugar, el atractivo natural y cultural de La Guajira como destino turístico puede generar interés en emprendedores que deseen incursionar en el sector del ecoturismo en bicicleta. La belleza de los paisajes desérticos, las playas vírgenes, la cultura indígena Wayuu y la posibilidad de diseñar rutas únicas son elementos que pueden llamar la atención de nuevos actores. Además, el crecimiento del ciclismo como actividad recreativa y deportiva en el país puede motivar a emprendedores a buscar oportunidades en el mercado del ecoturismo en bicicleta. A medida que más personas se interesan por la práctica del ciclismo, se incrementa la demanda de experiencias y eventos relacionados con esta actividad.</w:t>
      </w:r>
    </w:p>
    <w:p w14:paraId="4CB38D7A" w14:textId="77777777" w:rsidR="0055636C" w:rsidRPr="00E5276F" w:rsidRDefault="0055636C" w:rsidP="0055636C">
      <w:pPr>
        <w:pStyle w:val="Sinespaciado"/>
      </w:pPr>
      <w:r w:rsidRPr="00E5276F">
        <w:lastRenderedPageBreak/>
        <w:t>Sin embargo, existe un mercado amplio y prometedor que puede ser abordado tanto a nivel nacional como internacional. Los clientes objetivo son ciclistas aficionados de diferentes partes del país y potencialmente del extranjero, lo que amplía las oportunidades de negocio.</w:t>
      </w:r>
    </w:p>
    <w:p w14:paraId="1F4751A5" w14:textId="77777777" w:rsidR="0055636C" w:rsidRPr="00E5276F" w:rsidRDefault="0055636C" w:rsidP="0055636C">
      <w:pPr>
        <w:pStyle w:val="Sinespaciado"/>
      </w:pPr>
      <w:r w:rsidRPr="00E5276F">
        <w:t>Si bien es cierto que el sector ha experimentado un aumento en la oferta de eventos y experiencias de ecoturismo en bicicleta, este hecho demuestra que existe una demanda significativa y creciente por parte de los ciclistas aficionados. La presencia de numerosos eventos exitosos en el mercado respalda la idea de que hay un público dispuesto a participar y pagar por este tipo de experiencias. La diversidad de eventos existentes indica que hay espacio para la innovación y la diferenciación. Al ofrecer una propuesta única y atractiva, se puede captar la atención de los ciclistas y destacarse entre la competencia. La belleza de los paisajes, la riqueza cultural y las posibilidades de organización en La Guajira constituyen factores diferenciadores que pueden ser aprovechados para atraer a los clientes y establecer una posición sólida en el mercado.</w:t>
      </w:r>
    </w:p>
    <w:p w14:paraId="0E13F5FE" w14:textId="77777777" w:rsidR="0055636C" w:rsidRPr="00E5276F" w:rsidRDefault="0055636C" w:rsidP="0055636C">
      <w:pPr>
        <w:pStyle w:val="Sinespaciado"/>
        <w:rPr>
          <w:rFonts w:ascii="Segoe UI" w:eastAsia="Times New Roman" w:hAnsi="Segoe UI" w:cs="Segoe UI"/>
          <w:color w:val="374151"/>
          <w:szCs w:val="24"/>
          <w:lang w:eastAsia="es-CO"/>
        </w:rPr>
      </w:pPr>
      <w:r w:rsidRPr="00E5276F">
        <w:t>Para disminuir la afectación de este componente, es esencial que el plan de negocio se enfoque en el desarrollo de una propuesta única, la construcción de relaciones sólidas con proveedores y actores locales, así como en la promoción efectiva del evento y sus valores diferenciales. La calidad de los servicios, la experiencia del cliente y la construcción de una reputación sólida serán factores clave para mantener una posición competitiva en el mercado del ecoturismo en bicicleta en La Guajira.</w:t>
      </w:r>
    </w:p>
    <w:p w14:paraId="2ED0DCF4" w14:textId="77777777" w:rsidR="0055636C" w:rsidRPr="00E5276F" w:rsidRDefault="0055636C" w:rsidP="0055636C">
      <w:pPr>
        <w:pStyle w:val="Ttulo2"/>
      </w:pPr>
      <w:bookmarkStart w:id="8" w:name="_Toc145872953"/>
      <w:bookmarkStart w:id="9" w:name="_Toc145873265"/>
      <w:r w:rsidRPr="00E5276F">
        <w:t>Amenaza de Productos o Servicios Sustitutos</w:t>
      </w:r>
      <w:bookmarkEnd w:id="8"/>
      <w:bookmarkEnd w:id="9"/>
    </w:p>
    <w:p w14:paraId="1DB941A7" w14:textId="77777777" w:rsidR="0055636C" w:rsidRPr="00E5276F" w:rsidRDefault="0055636C" w:rsidP="0055636C">
      <w:pPr>
        <w:pStyle w:val="Sinespaciado"/>
      </w:pPr>
      <w:r w:rsidRPr="00E5276F">
        <w:t xml:space="preserve">La amenaza de productos o servicios sustitutos en el sector del ecoturismo en bicicleta en el departamento de La Guajira es un aspecto importante a considerar en el desarrollo del plan de negocio. Aunque la experiencia de recorrer la región en bicicleta es única y difícil de </w:t>
      </w:r>
      <w:r w:rsidRPr="00E5276F">
        <w:lastRenderedPageBreak/>
        <w:t xml:space="preserve">replicar, existen otras alternativas de turismo y actividades recreativas que podrían ser consideradas como sustitutos potenciales. De acuerdo con esto, la amenaza de servicios sustitutos en este caso puede considerarse media. </w:t>
      </w:r>
    </w:p>
    <w:p w14:paraId="6718624E" w14:textId="77777777" w:rsidR="0055636C" w:rsidRPr="00E5276F" w:rsidRDefault="0055636C" w:rsidP="0055636C">
      <w:pPr>
        <w:pStyle w:val="Sinespaciado"/>
      </w:pPr>
      <w:r w:rsidRPr="00E5276F">
        <w:t>Sin embargo, pese a la existencia de productos o servicios sustitutos, es importante destacar que la experiencia ofrecida por los eventos de competencias de ciclismo es difícilmente reemplazable para el mercado objetivo de ciclistas aficionados muy apasionados por este deporte. Estos individuos dedican tiempo y esfuerzo a su entrenamiento diario con el objetivo de disfrutar plenamente de eventos como estos. La emoción, el desafío físico, la camaradería entre los participantes y la sensación de logro al cruzar la línea de meta son aspectos únicos que no pueden ser replicados por otras actividades turísticas o recreativas.</w:t>
      </w:r>
    </w:p>
    <w:p w14:paraId="2D8044D8" w14:textId="77777777" w:rsidR="0055636C" w:rsidRPr="00E5276F" w:rsidRDefault="0055636C" w:rsidP="0055636C">
      <w:pPr>
        <w:pStyle w:val="Sinespaciado"/>
      </w:pPr>
      <w:r w:rsidRPr="00E5276F">
        <w:t>La pasión y la dedicación de estos ciclistas aficionados los impulsan a buscar experiencias auténticas y auténticas en el entorno natural, y esto los distingue como un público objetivo específico y comprometido. Por lo tanto, a pesar de la presencia de productos o servicios sustitutos, la demanda persistente de los ciclistas aficionados por participar en eventos de competencias en bicicleta demuestra que esta experiencia especializada es altamente valorada y difícilmente reemplazable.</w:t>
      </w:r>
    </w:p>
    <w:p w14:paraId="2CDDEBA3" w14:textId="77777777" w:rsidR="0055636C" w:rsidRPr="00E5276F" w:rsidRDefault="0055636C" w:rsidP="0055636C">
      <w:pPr>
        <w:pStyle w:val="Ttulo2"/>
      </w:pPr>
      <w:bookmarkStart w:id="10" w:name="_Toc145872954"/>
      <w:bookmarkStart w:id="11" w:name="_Toc145873266"/>
      <w:r w:rsidRPr="00E5276F">
        <w:t>Poder de Negociación de los Proveedores</w:t>
      </w:r>
      <w:bookmarkEnd w:id="10"/>
      <w:bookmarkEnd w:id="11"/>
    </w:p>
    <w:p w14:paraId="58A58589" w14:textId="77777777" w:rsidR="0055636C" w:rsidRPr="00E5276F" w:rsidRDefault="0055636C" w:rsidP="0055636C">
      <w:pPr>
        <w:pStyle w:val="Sinespaciado"/>
      </w:pPr>
      <w:r w:rsidRPr="00E5276F">
        <w:t xml:space="preserve">El poder de negociación de los proveedores en el sector del ecoturismo en bicicleta en el departamento de La Guajira es un aspecto relevante a considerar en el plan de negocio. Los proveedores clave en este contexto incluyen hoteles, jueces de ciclismo, población de comunidades indígenas, servicios de alimentación, bebidas, atención médica, proveedores de insumos, componentes de ciclismo, entre otros. Más que un aspecto negativo o dificultoso para la empresa a constituir, dada la dinámica del sector y la naturaleza del evento de ciclismo, los proveedores tienen la oportunidad de desempeñar un papel estratégico en la </w:t>
      </w:r>
      <w:r w:rsidRPr="00E5276F">
        <w:lastRenderedPageBreak/>
        <w:t>realización del mismo. En primer lugar, los hoteles y alojamientos locales pueden beneficiarse al proporcionar hospedaje y servicios a los participantes y acompañantes durante el evento. Establecer alianzas con proveedores de alojamiento puede garantizar una disponibilidad adecuada de habitaciones y tarifas competitivas para los asistentes.</w:t>
      </w:r>
    </w:p>
    <w:p w14:paraId="6100B0E2" w14:textId="77777777" w:rsidR="0055636C" w:rsidRPr="00E5276F" w:rsidRDefault="0055636C" w:rsidP="0055636C">
      <w:pPr>
        <w:pStyle w:val="Sinespaciado"/>
      </w:pPr>
      <w:r w:rsidRPr="00E5276F">
        <w:t>Los jueces de ciclismo son otro grupo de proveedores clave, ya que su experiencia y conocimiento son fundamentales para la organización de un evento exitoso. Establecer relaciones sólidas con jueces de ciclismo confiables y calificados es esencial para garantizar la imparcialidad y la calidad del evento.</w:t>
      </w:r>
    </w:p>
    <w:p w14:paraId="728EBF51" w14:textId="77777777" w:rsidR="0055636C" w:rsidRPr="00E5276F" w:rsidRDefault="0055636C" w:rsidP="0055636C">
      <w:pPr>
        <w:pStyle w:val="Sinespaciado"/>
      </w:pPr>
      <w:r w:rsidRPr="00E5276F">
        <w:t>La población de comunidades indígenas también puede ser un proveedor importante en términos de la riqueza cultural y las experiencias auténticas que pueden ofrecer a los participantes del evento. Colaborar con estas comunidades puede brindar oportunidades para el intercambio cultural, la promoción del turismo sostenible y el respeto por las tradiciones locales.</w:t>
      </w:r>
    </w:p>
    <w:p w14:paraId="694E71DF" w14:textId="77777777" w:rsidR="0055636C" w:rsidRPr="00E5276F" w:rsidRDefault="0055636C" w:rsidP="0055636C">
      <w:pPr>
        <w:pStyle w:val="Sinespaciado"/>
      </w:pPr>
      <w:r w:rsidRPr="00E5276F">
        <w:t>En cuanto a los servicios de alimentación y bebidas, establecer acuerdos con proveedores locales puede garantizar una oferta diversa de alimentos y bebidas durante el evento. Utilizar productos locales y promover la gastronomía de la región puede agregar valor a la experiencia de los participantes.</w:t>
      </w:r>
    </w:p>
    <w:p w14:paraId="01736423" w14:textId="77777777" w:rsidR="0055636C" w:rsidRPr="00E5276F" w:rsidRDefault="0055636C" w:rsidP="0055636C">
      <w:pPr>
        <w:pStyle w:val="Sinespaciado"/>
      </w:pPr>
      <w:r w:rsidRPr="00E5276F">
        <w:t>Además, los proveedores de insumos y componentes de ciclismo desempeñan un papel fundamental en la provisión de equipos y materiales necesarios para el evento. Establecer relaciones estratégicas con proveedores confiables y de calidad puede garantizar la disponibilidad oportuna de bicicletas, accesorios y repuestos necesarios para los participantes.</w:t>
      </w:r>
    </w:p>
    <w:p w14:paraId="42D54A50" w14:textId="77777777" w:rsidR="0055636C" w:rsidRPr="00E5276F" w:rsidRDefault="0055636C" w:rsidP="0055636C">
      <w:pPr>
        <w:pStyle w:val="Sinespaciado"/>
      </w:pPr>
      <w:r w:rsidRPr="00E5276F">
        <w:t xml:space="preserve">Es importante destacar que, en muchos casos, los proveedores pueden convertirse en patrocinadores del evento, lo que resulta beneficioso tanto para el evento como para el </w:t>
      </w:r>
      <w:r w:rsidRPr="00E5276F">
        <w:lastRenderedPageBreak/>
        <w:t>negocio en general. Estas alianzas estratégicas pueden ayudar a financiar el evento, obtener apoyo logístico y promocional, así como fortalecer la reputación y credibilidad del negocio.</w:t>
      </w:r>
    </w:p>
    <w:p w14:paraId="0B90B05D" w14:textId="77777777" w:rsidR="0055636C" w:rsidRPr="00E5276F" w:rsidRDefault="0055636C" w:rsidP="0055636C">
      <w:pPr>
        <w:pStyle w:val="Sinespaciado"/>
      </w:pPr>
      <w:r w:rsidRPr="00E5276F">
        <w:t>De tal forma, este componente pasa de ser una debilidad a una posible palanca de apoyo para la consecución de una propuesta integral y financiada de los eventos a desarrollar. La colaboración con los proveedores no solo asegura el suministro adecuado de productos y servicios, sino que también puede impulsar la promoción y el apoyo financiero del evento, agregando valor a la experiencia de los participantes y contribuyendo al desarrollo sostenible del negocio.</w:t>
      </w:r>
    </w:p>
    <w:p w14:paraId="48CAA1CC" w14:textId="77777777" w:rsidR="0055636C" w:rsidRPr="00E5276F" w:rsidRDefault="0055636C" w:rsidP="0055636C">
      <w:pPr>
        <w:pStyle w:val="Ttulo2"/>
      </w:pPr>
      <w:bookmarkStart w:id="12" w:name="_Toc145872955"/>
      <w:bookmarkStart w:id="13" w:name="_Toc145873267"/>
      <w:r w:rsidRPr="00E5276F">
        <w:t>Poder de Negociación de los Clientes</w:t>
      </w:r>
      <w:bookmarkEnd w:id="12"/>
      <w:bookmarkEnd w:id="13"/>
    </w:p>
    <w:p w14:paraId="20ADE9ED" w14:textId="77777777" w:rsidR="0055636C" w:rsidRPr="00E5276F" w:rsidRDefault="0055636C" w:rsidP="0055636C">
      <w:pPr>
        <w:pStyle w:val="Sinespaciado"/>
      </w:pPr>
      <w:r w:rsidRPr="00E5276F">
        <w:t>Este componente es fundamental para garantizar la viabilidad de la empresa a constituir y para la generación de una propuesta de valor sólida hacia los clientes. Dado que el mercado objetivo son ciclistas aficionados nacionales e internacionales, es fundamental comprender sus necesidades, preferencias y poder adquisitivo para adaptar la oferta y garantizar su satisfacción.</w:t>
      </w:r>
    </w:p>
    <w:p w14:paraId="4AF3E245" w14:textId="77777777" w:rsidR="0055636C" w:rsidRPr="00E5276F" w:rsidRDefault="0055636C" w:rsidP="0055636C">
      <w:pPr>
        <w:pStyle w:val="Sinespaciado"/>
      </w:pPr>
      <w:r w:rsidRPr="00E5276F">
        <w:t xml:space="preserve">En primer lugar, debido a la amplia oferta de eventos de competencias de ciclismo a nivel nacional e internacional, los clientes tienen múltiples opciones para elegir. Esto aumenta su poder de negociación, ya que pueden comparar y seleccionar entre diferentes eventos en términos de ubicación, dificultad de las rutas, calidad de los servicios, precio, entre otros aspectos. Por lo tanto, es esencial ofrecer una propuesta única y atractiva que se destaque de la competencia, aprovechando los atributos distintivos de La Guajira, como sus hermosos paisajes, riqueza cultural y posibilidades de organización. A su vez, los clientes tienen expectativas cada vez más altas en términos de calidad, seguridad y experiencia. Esperan un evento bien organizado, con rutas bien señalizadas, servicios de apoyo durante la competencia, y una atención al cliente excepcional. La capacidad de cumplir con estas </w:t>
      </w:r>
      <w:r w:rsidRPr="00E5276F">
        <w:lastRenderedPageBreak/>
        <w:t>expectativas y brindar una experiencia inolvidable será determinante para la satisfacción y lealtad de los clientes.</w:t>
      </w:r>
    </w:p>
    <w:p w14:paraId="093C3B40" w14:textId="77777777" w:rsidR="0055636C" w:rsidRPr="00E5276F" w:rsidRDefault="0055636C" w:rsidP="0055636C">
      <w:pPr>
        <w:pStyle w:val="Sinespaciado"/>
      </w:pPr>
      <w:r w:rsidRPr="00E5276F">
        <w:t>El poder de negociación de los clientes también se ve influenciado por su capacidad adquisitiva. Si bien el mercado objetivo son ciclistas aficionados con capacidad adquisitiva suficiente para participar en eventos de esta naturaleza, es importante ofrecer opciones de precios competitivos y un buen valor por su dinero. La relación calidad-precio será un factor determinante en la toma de decisiones de los clientes y en su disposición a participar en el evento.</w:t>
      </w:r>
    </w:p>
    <w:p w14:paraId="66B9B2FB" w14:textId="77777777" w:rsidR="0055636C" w:rsidRPr="00E5276F" w:rsidRDefault="0055636C" w:rsidP="0055636C">
      <w:pPr>
        <w:pStyle w:val="Sinespaciado"/>
      </w:pPr>
      <w:r w:rsidRPr="00E5276F">
        <w:t>Finalmente, cabe destacar que es crucial establecer una comunicación efectiva y estratégica con los clientes, brindando información clara y detallada sobre el evento, las características de las rutas, los servicios incluidos, las medidas de seguridad y cualquier otra información relevante. Además, se pueden implementar estrategias de fidelización, como descuentos para participantes recurrentes, programas de referidos o beneficios adicionales para aquellos que elijan el evento en La Guajira.</w:t>
      </w:r>
    </w:p>
    <w:bookmarkEnd w:id="0"/>
    <w:bookmarkEnd w:id="1"/>
    <w:p w14:paraId="7B1A9AA9" w14:textId="7D1431E1" w:rsidR="00012AE9" w:rsidRPr="00012AE9" w:rsidRDefault="00012AE9" w:rsidP="00012AE9">
      <w:pPr>
        <w:jc w:val="center"/>
        <w:rPr>
          <w:b/>
          <w:bCs/>
        </w:rPr>
      </w:pPr>
    </w:p>
    <w:sectPr w:rsidR="00012AE9" w:rsidRPr="00012AE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28A"/>
    <w:multiLevelType w:val="hybridMultilevel"/>
    <w:tmpl w:val="1A50F984"/>
    <w:lvl w:ilvl="0" w:tplc="C042393C">
      <w:start w:val="1"/>
      <w:numFmt w:val="bullet"/>
      <w:pStyle w:val="Prrafodelista"/>
      <w:lvlText w:val=""/>
      <w:lvlJc w:val="left"/>
      <w:pPr>
        <w:ind w:left="2138"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 w15:restartNumberingAfterBreak="0">
    <w:nsid w:val="33421D15"/>
    <w:multiLevelType w:val="multilevel"/>
    <w:tmpl w:val="4A609946"/>
    <w:lvl w:ilvl="0">
      <w:start w:val="1"/>
      <w:numFmt w:val="decimal"/>
      <w:pStyle w:val="Ttulo1"/>
      <w:lvlText w:val="%1."/>
      <w:lvlJc w:val="left"/>
      <w:pPr>
        <w:ind w:left="720" w:hanging="360"/>
      </w:pPr>
      <w:rPr>
        <w:rFonts w:hint="default"/>
      </w:rPr>
    </w:lvl>
    <w:lvl w:ilvl="1">
      <w:start w:val="1"/>
      <w:numFmt w:val="decimal"/>
      <w:pStyle w:val="Ttulo2"/>
      <w:isLgl/>
      <w:suff w:val="space"/>
      <w:lvlText w:val="%1.%2."/>
      <w:lvlJc w:val="left"/>
      <w:pPr>
        <w:ind w:left="840" w:hanging="840"/>
      </w:pPr>
      <w:rPr>
        <w:rFonts w:hint="default"/>
      </w:rPr>
    </w:lvl>
    <w:lvl w:ilvl="2">
      <w:start w:val="1"/>
      <w:numFmt w:val="decimal"/>
      <w:pStyle w:val="Ttulo3"/>
      <w:isLgl/>
      <w:suff w:val="space"/>
      <w:lvlText w:val="%1.%2.%3."/>
      <w:lvlJc w:val="left"/>
      <w:pPr>
        <w:ind w:left="0" w:firstLine="0"/>
      </w:pPr>
      <w:rPr>
        <w:rFonts w:hint="default"/>
      </w:rPr>
    </w:lvl>
    <w:lvl w:ilvl="3">
      <w:start w:val="1"/>
      <w:numFmt w:val="decimal"/>
      <w:pStyle w:val="Ttulo4"/>
      <w:isLgl/>
      <w:suff w:val="space"/>
      <w:lvlText w:val="%1.%2.%3.%4."/>
      <w:lvlJc w:val="left"/>
      <w:pPr>
        <w:ind w:left="0" w:firstLine="720"/>
      </w:pPr>
      <w:rPr>
        <w:rFonts w:hint="default"/>
        <w:b/>
        <w:bCs w:val="0"/>
        <w:i w:val="0"/>
        <w:iCs w:val="0"/>
      </w:rPr>
    </w:lvl>
    <w:lvl w:ilvl="4">
      <w:start w:val="1"/>
      <w:numFmt w:val="decimal"/>
      <w:pStyle w:val="Ttulo5"/>
      <w:isLgl/>
      <w:lvlText w:val="%1.%2.%3.%4.%5."/>
      <w:lvlJc w:val="left"/>
      <w:pPr>
        <w:ind w:left="1440" w:hanging="1080"/>
      </w:p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4D3029C"/>
    <w:multiLevelType w:val="hybridMultilevel"/>
    <w:tmpl w:val="9640BA5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AE9"/>
    <w:rsid w:val="00012AE9"/>
    <w:rsid w:val="00060A0E"/>
    <w:rsid w:val="005563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6F0BB"/>
  <w15:chartTrackingRefBased/>
  <w15:docId w15:val="{C847F3EC-64B4-4BF1-A8F7-B7A229626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AE9"/>
    <w:pPr>
      <w:spacing w:after="0" w:line="480" w:lineRule="auto"/>
      <w:ind w:firstLine="709"/>
      <w:jc w:val="both"/>
    </w:pPr>
    <w:rPr>
      <w:rFonts w:ascii="Times New Roman" w:eastAsia="Calibri" w:hAnsi="Times New Roman" w:cs="Times New Roman"/>
      <w:sz w:val="24"/>
    </w:rPr>
  </w:style>
  <w:style w:type="paragraph" w:styleId="Ttulo1">
    <w:name w:val="heading 1"/>
    <w:basedOn w:val="Normal"/>
    <w:link w:val="Ttulo1Car"/>
    <w:autoRedefine/>
    <w:uiPriority w:val="9"/>
    <w:qFormat/>
    <w:rsid w:val="00012AE9"/>
    <w:pPr>
      <w:numPr>
        <w:numId w:val="1"/>
      </w:numPr>
      <w:spacing w:after="240"/>
      <w:jc w:val="center"/>
      <w:outlineLvl w:val="0"/>
    </w:pPr>
    <w:rPr>
      <w:rFonts w:eastAsia="Times New Roman" w:cs="Arial"/>
      <w:b/>
      <w:bCs/>
      <w:kern w:val="36"/>
      <w:szCs w:val="24"/>
    </w:rPr>
  </w:style>
  <w:style w:type="paragraph" w:styleId="Ttulo2">
    <w:name w:val="heading 2"/>
    <w:basedOn w:val="Normal"/>
    <w:next w:val="Normal"/>
    <w:link w:val="Ttulo2Car"/>
    <w:autoRedefine/>
    <w:uiPriority w:val="9"/>
    <w:unhideWhenUsed/>
    <w:qFormat/>
    <w:rsid w:val="00012AE9"/>
    <w:pPr>
      <w:keepNext/>
      <w:keepLines/>
      <w:numPr>
        <w:ilvl w:val="1"/>
        <w:numId w:val="1"/>
      </w:numPr>
      <w:outlineLvl w:val="1"/>
    </w:pPr>
    <w:rPr>
      <w:rFonts w:eastAsia="Times New Roman"/>
      <w:b/>
      <w:szCs w:val="26"/>
    </w:rPr>
  </w:style>
  <w:style w:type="paragraph" w:styleId="Ttulo3">
    <w:name w:val="heading 3"/>
    <w:basedOn w:val="Normal"/>
    <w:next w:val="Normal"/>
    <w:link w:val="Ttulo3Car"/>
    <w:autoRedefine/>
    <w:uiPriority w:val="9"/>
    <w:unhideWhenUsed/>
    <w:qFormat/>
    <w:rsid w:val="00012AE9"/>
    <w:pPr>
      <w:keepNext/>
      <w:keepLines/>
      <w:numPr>
        <w:ilvl w:val="2"/>
        <w:numId w:val="1"/>
      </w:numPr>
      <w:outlineLvl w:val="2"/>
    </w:pPr>
    <w:rPr>
      <w:rFonts w:eastAsia="Times New Roman"/>
      <w:b/>
      <w:i/>
      <w:iCs/>
      <w:color w:val="000000"/>
      <w:szCs w:val="24"/>
    </w:rPr>
  </w:style>
  <w:style w:type="paragraph" w:styleId="Ttulo4">
    <w:name w:val="heading 4"/>
    <w:basedOn w:val="Ttulo3"/>
    <w:next w:val="Normal"/>
    <w:link w:val="Ttulo4Car"/>
    <w:uiPriority w:val="9"/>
    <w:unhideWhenUsed/>
    <w:qFormat/>
    <w:rsid w:val="00012AE9"/>
    <w:pPr>
      <w:keepNext w:val="0"/>
      <w:keepLines w:val="0"/>
      <w:widowControl w:val="0"/>
      <w:numPr>
        <w:ilvl w:val="3"/>
      </w:numPr>
      <w:outlineLvl w:val="3"/>
    </w:pPr>
    <w:rPr>
      <w:i w:val="0"/>
      <w:iCs w:val="0"/>
    </w:rPr>
  </w:style>
  <w:style w:type="paragraph" w:styleId="Ttulo5">
    <w:name w:val="heading 5"/>
    <w:basedOn w:val="Normal"/>
    <w:next w:val="Normal"/>
    <w:link w:val="Ttulo5Car"/>
    <w:uiPriority w:val="9"/>
    <w:unhideWhenUsed/>
    <w:qFormat/>
    <w:rsid w:val="00012AE9"/>
    <w:pPr>
      <w:numPr>
        <w:ilvl w:val="4"/>
        <w:numId w:val="1"/>
      </w:numPr>
      <w:ind w:left="0" w:hanging="22"/>
      <w:outlineLvl w:val="4"/>
    </w:pPr>
    <w:rPr>
      <w:rFonts w:eastAsia="Times New Roman"/>
      <w:b/>
      <w:bCs/>
      <w:i/>
      <w:iCs/>
      <w:noProo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12AE9"/>
    <w:rPr>
      <w:rFonts w:ascii="Times New Roman" w:eastAsia="Times New Roman" w:hAnsi="Times New Roman" w:cs="Arial"/>
      <w:b/>
      <w:bCs/>
      <w:kern w:val="36"/>
      <w:sz w:val="24"/>
      <w:szCs w:val="24"/>
    </w:rPr>
  </w:style>
  <w:style w:type="character" w:customStyle="1" w:styleId="Ttulo2Car">
    <w:name w:val="Título 2 Car"/>
    <w:basedOn w:val="Fuentedeprrafopredeter"/>
    <w:link w:val="Ttulo2"/>
    <w:uiPriority w:val="9"/>
    <w:rsid w:val="00012AE9"/>
    <w:rPr>
      <w:rFonts w:ascii="Times New Roman" w:eastAsia="Times New Roman" w:hAnsi="Times New Roman" w:cs="Times New Roman"/>
      <w:b/>
      <w:sz w:val="24"/>
      <w:szCs w:val="26"/>
    </w:rPr>
  </w:style>
  <w:style w:type="character" w:customStyle="1" w:styleId="Ttulo3Car">
    <w:name w:val="Título 3 Car"/>
    <w:basedOn w:val="Fuentedeprrafopredeter"/>
    <w:link w:val="Ttulo3"/>
    <w:uiPriority w:val="9"/>
    <w:rsid w:val="00012AE9"/>
    <w:rPr>
      <w:rFonts w:ascii="Times New Roman" w:eastAsia="Times New Roman" w:hAnsi="Times New Roman" w:cs="Times New Roman"/>
      <w:b/>
      <w:i/>
      <w:iCs/>
      <w:color w:val="000000"/>
      <w:sz w:val="24"/>
      <w:szCs w:val="24"/>
    </w:rPr>
  </w:style>
  <w:style w:type="character" w:customStyle="1" w:styleId="Ttulo4Car">
    <w:name w:val="Título 4 Car"/>
    <w:basedOn w:val="Fuentedeprrafopredeter"/>
    <w:link w:val="Ttulo4"/>
    <w:uiPriority w:val="9"/>
    <w:rsid w:val="00012AE9"/>
    <w:rPr>
      <w:rFonts w:ascii="Times New Roman" w:eastAsia="Times New Roman" w:hAnsi="Times New Roman" w:cs="Times New Roman"/>
      <w:b/>
      <w:color w:val="000000"/>
      <w:sz w:val="24"/>
      <w:szCs w:val="24"/>
    </w:rPr>
  </w:style>
  <w:style w:type="character" w:customStyle="1" w:styleId="Ttulo5Car">
    <w:name w:val="Título 5 Car"/>
    <w:basedOn w:val="Fuentedeprrafopredeter"/>
    <w:link w:val="Ttulo5"/>
    <w:uiPriority w:val="9"/>
    <w:rsid w:val="00012AE9"/>
    <w:rPr>
      <w:rFonts w:ascii="Times New Roman" w:eastAsia="Times New Roman" w:hAnsi="Times New Roman" w:cs="Times New Roman"/>
      <w:b/>
      <w:bCs/>
      <w:i/>
      <w:iCs/>
      <w:noProof/>
      <w:sz w:val="24"/>
      <w:szCs w:val="24"/>
    </w:rPr>
  </w:style>
  <w:style w:type="paragraph" w:styleId="Prrafodelista">
    <w:name w:val="List Paragraph"/>
    <w:basedOn w:val="Normal"/>
    <w:link w:val="PrrafodelistaCar"/>
    <w:autoRedefine/>
    <w:uiPriority w:val="34"/>
    <w:qFormat/>
    <w:rsid w:val="00012AE9"/>
    <w:pPr>
      <w:numPr>
        <w:numId w:val="3"/>
      </w:numPr>
    </w:pPr>
  </w:style>
  <w:style w:type="paragraph" w:styleId="Sinespaciado">
    <w:name w:val="No Spacing"/>
    <w:aliases w:val="APA NORMAL"/>
    <w:link w:val="SinespaciadoCar"/>
    <w:uiPriority w:val="1"/>
    <w:qFormat/>
    <w:rsid w:val="00012AE9"/>
    <w:pPr>
      <w:spacing w:after="0" w:line="480" w:lineRule="auto"/>
      <w:ind w:firstLine="720"/>
      <w:jc w:val="both"/>
    </w:pPr>
    <w:rPr>
      <w:rFonts w:ascii="Times New Roman" w:eastAsia="Calibri" w:hAnsi="Times New Roman" w:cs="Times New Roman"/>
      <w:sz w:val="24"/>
    </w:rPr>
  </w:style>
  <w:style w:type="character" w:customStyle="1" w:styleId="SinespaciadoCar">
    <w:name w:val="Sin espaciado Car"/>
    <w:aliases w:val="APA NORMAL Car"/>
    <w:link w:val="Sinespaciado"/>
    <w:uiPriority w:val="1"/>
    <w:rsid w:val="00012AE9"/>
    <w:rPr>
      <w:rFonts w:ascii="Times New Roman" w:eastAsia="Calibri" w:hAnsi="Times New Roman" w:cs="Times New Roman"/>
      <w:sz w:val="24"/>
    </w:rPr>
  </w:style>
  <w:style w:type="character" w:customStyle="1" w:styleId="PrrafodelistaCar">
    <w:name w:val="Párrafo de lista Car"/>
    <w:link w:val="Prrafodelista"/>
    <w:uiPriority w:val="34"/>
    <w:rsid w:val="00012AE9"/>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2262</Words>
  <Characters>12444</Characters>
  <Application>Microsoft Office Word</Application>
  <DocSecurity>0</DocSecurity>
  <Lines>103</Lines>
  <Paragraphs>29</Paragraphs>
  <ScaleCrop>false</ScaleCrop>
  <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2023-09-24T22:46:00Z</dcterms:created>
  <dcterms:modified xsi:type="dcterms:W3CDTF">2023-09-24T22:46:00Z</dcterms:modified>
</cp:coreProperties>
</file>